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London</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London</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2054530" cy="1579001"/>
            <wp:docPr id="1002" name="Picture 1580869515"/>
            <wp:cNvGraphicFramePr>
              <a:graphicFrameLocks noChangeAspect="1"/>
            </wp:cNvGraphicFramePr>
            <a:graphic>
              <a:graphicData uri="http://schemas.openxmlformats.org/drawingml/2006/picture">
                <pic:pic>
                  <pic:nvPicPr>
                    <pic:cNvPr id="0" name="London.png"/>
                    <pic:cNvPicPr/>
                  </pic:nvPicPr>
                  <pic:blipFill>
                    <a:blip r:embed="rId28"/>
                    <a:stretch>
                      <a:fillRect/>
                    </a:stretch>
                  </pic:blipFill>
                  <pic:spPr>
                    <a:xfrm>
                      <a:off x="0" y="0"/>
                      <a:ext cx="2054530" cy="1579001"/>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London,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London,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London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London is ranked </w:t>
      </w:r>
      <w:r w:rsidRPr="004141A5">
        <w:rPr>
          <w:rFonts w:ascii="Franklin Gothic Book" w:eastAsia="Times New Roman" w:hAnsi="Franklin Gothic Book" w:cs="Calibri Light"/>
          <w:b/>
          <w:bCs/>
          <w:color w:val="EF681C" w:themeColor="accent2"/>
          <w:sz w:val="22"/>
          <w:szCs w:val="22"/>
        </w:rPr>
        <w:t xml:space="preserve">lowest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56.4%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higher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8.4%</w:t>
      </w:r>
      <w:r w:rsidR="009E7905" w:rsidRPr="004141A5">
        <w:rPr>
          <w:rFonts w:ascii="Franklin Gothic Book" w:eastAsia="Times New Roman" w:hAnsi="Franklin Gothic Book" w:cs="Calibri Light"/>
          <w:sz w:val="22"/>
          <w:szCs w:val="22"/>
        </w:rPr>
        <w:t xml:space="preserve">) in London</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highest</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London (among those with a PGSI score of 8+) is </w:t>
      </w:r>
      <w:r w:rsidRPr="004141A5">
        <w:rPr>
          <w:rFonts w:ascii="Franklin Gothic Book" w:hAnsi="Franklin Gothic Book" w:cs="Calibri Light"/>
          <w:b/>
          <w:bCs/>
          <w:color w:val="EF681C" w:themeColor="accent2"/>
          <w:sz w:val="22"/>
          <w:szCs w:val="22"/>
        </w:rPr>
        <w:t xml:space="preserve">Gambling has positive impacts</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31.0%</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London.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London</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lower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lowest</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56.4%</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3,973,277</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London</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London.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London</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51.7%</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56.4%</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London.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London</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higher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23.8%</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1,679,101</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London</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highest</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highest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highest</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London</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790909"/>
            <wp:docPr id="1006" name="Picture 1580869508"/>
            <wp:cNvGraphicFramePr>
              <a:graphicFrameLocks noChangeAspect="1"/>
            </wp:cNvGraphicFramePr>
            <a:graphic>
              <a:graphicData uri="http://schemas.openxmlformats.org/drawingml/2006/picture">
                <pic:pic>
                  <pic:nvPicPr>
                    <pic:cNvPr id="0" name="la_top_ten_London.png"/>
                    <pic:cNvPicPr/>
                  </pic:nvPicPr>
                  <pic:blipFill>
                    <a:blip r:embed="rId21"/>
                    <a:stretch>
                      <a:fillRect/>
                    </a:stretch>
                  </pic:blipFill>
                  <pic:spPr>
                    <a:xfrm>
                      <a:off x="0" y="0"/>
                      <a:ext cx="5400000" cy="2790909"/>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London</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Westminster (36.9%).</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12.5%</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 This is likely to be linked to the relatively diverse ethnic profile in Westminster (as evidence in Appendix A shows, those from ethnic minority communities are at higher risk of experiencing 'problem gambling').</w:t>
      </w:r>
      <w:r w:rsidR="00F552B6">
        <w:rPr>
          <w:rFonts w:ascii="Franklin Gothic Book" w:hAnsi="Franklin Gothic Book" w:cs="Calibri Light"/>
        </w:rPr>
        <w:t xml:space="preserve"> </w:t>
      </w:r>
      <w:r w:rsidRPr="00B15F74">
        <w:rPr>
          <w:rFonts w:ascii="Franklin Gothic Book" w:hAnsi="Franklin Gothic Book" w:cs="Calibri Light"/>
        </w:rPr>
        <w:t xml:space="preserve"/>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Sutton (12.4%)</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London</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London.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London</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3.7%</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8.4%</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aligned with</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London</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higher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16.8%</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highest</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higher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18.6%</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highest</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London.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London</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higher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13.2%</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London</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second highest</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45.7%</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Furthermore</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London shows a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76.9%</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highest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London.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London</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higher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10.4%</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highest</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46.7%</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London</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75.8%</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Southwark</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This higher rate of wanting treatment is likely linked to the relatively diverse ethnic profile in Southwark. Data shows, those from ethnic minority communities are more likely to have higher levels of ‘problem gambling’.</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London</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8447"/>
            <wp:docPr id="1010" name="Picture 1580869511"/>
            <wp:cNvGraphicFramePr>
              <a:graphicFrameLocks noChangeAspect="1"/>
            </wp:cNvGraphicFramePr>
            <a:graphic>
              <a:graphicData uri="http://schemas.openxmlformats.org/drawingml/2006/picture">
                <pic:pic>
                  <pic:nvPicPr>
                    <pic:cNvPr id="0" name="pgsi_access_treat_time_series_London.png"/>
                    <pic:cNvPicPr/>
                  </pic:nvPicPr>
                  <pic:blipFill>
                    <a:blip r:embed="rId24"/>
                    <a:stretch>
                      <a:fillRect/>
                    </a:stretch>
                  </pic:blipFill>
                  <pic:spPr>
                    <a:xfrm>
                      <a:off x="0" y="0"/>
                      <a:ext cx="5400000" cy="253844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London</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72.0%</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76.9%</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London</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London.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London</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67.7%</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75.8%</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London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London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London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48.5%*</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52.4%*</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12.3%*</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13.2%*</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10.8%*</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23.4%*</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8.1%*</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11.1%*</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31.0%*</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1.2%*</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10.3%*</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12.5%*</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9.5%*</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11.9%*</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2.4%*</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25.3%*</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London</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48.5%</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46.2%</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52.4%</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47.8%</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Gambling has positive impacts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31.0%</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16.1%</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London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London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London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22.6%*</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29.8%</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50.2%</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20.7%*</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25.7%</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39.0%</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31.4%*</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26.5%</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31.8%</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6.1%*</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20.3%</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41.0%</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London</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Mental health problems</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31.4%</w:t>
      </w:r>
      <w:r w:rsidR="00111031" w:rsidRPr="00001D81">
        <w:rPr>
          <w:rFonts w:ascii="Franklin Gothic Book" w:eastAsia="Times New Roman" w:hAnsi="Franklin Gothic Book" w:cs="Calibri Light"/>
          <w:szCs w:val="20"/>
          <w:lang w:eastAsia="en-GB"/>
        </w:rPr>
        <w:t xml:space="preserve">, compared to 12.8%</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A relationship affected by gambling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29.8%</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27.1%</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A relationship affected by gambling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50.2%</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46.5%</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London</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higher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10.8%</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second highest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London.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London</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London</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London</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£419,041,133</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London</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£6,825,494</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£141,155,021</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£10,111,843</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£2,843,956</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£5,213,919</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£252,890,897</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£419,041,133</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England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8.5%, compared with 4.5%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6.6%, compared with 3.4%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3.4%, compared with 4.5% across England.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5.1%, compared with 4.5% across all adults in England.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3.0%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London</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48.4%</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51.6%</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35.9%</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50.7%</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30.6%</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34.4%</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11.3%</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6.2%</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10.2%</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3.7%</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12.1%</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5.0%</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London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33.6%</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14.9%</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12.1%</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5.0%</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20.1%</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24.5%</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36.4%</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49.1%</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40.5%</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41.0%</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17.0%</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35.5%</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47.5%</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9.0%</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10.1%</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6.3%</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10.1%</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6.1%</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3.6%</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14.7%</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7.7%</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1.5%</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London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London, with </w:t>
      </w:r>
      <w:r w:rsidR="005F35A7" w:rsidRPr="006E0C20">
        <w:rPr>
          <w:rFonts w:ascii="Franklin Gothic Book" w:hAnsi="Franklin Gothic Book" w:cs="Calibri Light"/>
          <w:b/>
          <w:bCs/>
          <w:color w:val="003777"/>
          <w:sz w:val="22"/>
          <w:szCs w:val="22"/>
        </w:rPr>
        <w:t xml:space="preserve">33.8%</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23.9% among those aged 35-54 and 11.4%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46.2%</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53.8%</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49.2%</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39.4%</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26.3%</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37.3%</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9.7%</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7.9%</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7.8%</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6.1%</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7.1%</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9.3%</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London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23.3%</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(24.6%), but they are </w:t>
      </w:r>
      <w:r w:rsidR="005F35A7" w:rsidRPr="006E0C20">
        <w:rPr>
          <w:rFonts w:ascii="Franklin Gothic Book" w:hAnsi="Franklin Gothic Book" w:cs="Calibri Light"/>
          <w:b/>
          <w:bCs/>
          <w:color w:val="003777"/>
          <w:sz w:val="22"/>
          <w:szCs w:val="22"/>
        </w:rPr>
        <w:t xml:space="preserve">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9.3%</w:t>
      </w:r>
      <w:r w:rsidR="005F35A7" w:rsidRPr="006E0C20">
        <w:rPr>
          <w:rFonts w:ascii="Franklin Gothic Book" w:hAnsi="Franklin Gothic Book" w:cs="Calibri Light"/>
          <w:sz w:val="22"/>
          <w:szCs w:val="22"/>
        </w:rPr>
        <w:t xml:space="preserve">, compared with 7.1%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2.7%</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12.8%</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25.0%</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59.4%</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70.0%</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46.6%</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55.2%</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38.9%</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14.3%</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45.4%</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29.4%</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31.7%</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7.7%</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5.6%</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7.1%</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9.4%</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1.7%</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0.7%</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4.4%</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9.0%</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6.2%</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1.8%</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3.9%</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11.0%</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London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employed</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11.0%</w:t>
      </w:r>
      <w:r w:rsidR="005F35A7" w:rsidRPr="006E0C20">
        <w:rPr>
          <w:rFonts w:ascii="Franklin Gothic Book" w:hAnsi="Franklin Gothic Book" w:cs="Calibri Light"/>
          <w:sz w:val="22"/>
          <w:szCs w:val="22"/>
        </w:rPr>
        <w:t xml:space="preserve">, compared with 3.9% for those unemployed / not working.</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60.0%</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40.0%</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47.0%</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39.7%</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31.1%</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37.6%</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7.3%</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9.7%</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6.6%</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5.3%</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8.0%</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7.7%</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London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8.0%</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7.7%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43.7%</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29.1%</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27.2%</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35.7%</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42.6%</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58.0%</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34.0%</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39.4%</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22.6%</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9.3%</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8.9%</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7.1%</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9.2%</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4.4%</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4.4%</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11.8%</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4.8%</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7.8%</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London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Christian faith</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London</w:t>
      </w:r>
      <w:r w:rsidR="004D2F15" w:rsidRPr="006E0C20">
        <w:rPr>
          <w:rFonts w:ascii="Franklin Gothic Book" w:hAnsi="Franklin Gothic Book" w:cs="Calibri Light"/>
          <w:sz w:val="22"/>
          <w:szCs w:val="22"/>
        </w:rPr>
        <w:t xml:space="preserve">, as well as </w:t>
      </w:r>
      <w:r w:rsidR="004D2F15" w:rsidRPr="006E0C20">
        <w:rPr>
          <w:rFonts w:ascii="Franklin Gothic Book" w:hAnsi="Franklin Gothic Book" w:cs="Calibri Light"/>
          <w:b/>
          <w:bCs/>
          <w:color w:val="003777"/>
          <w:sz w:val="22"/>
          <w:szCs w:val="22"/>
        </w:rPr>
        <w:t xml:space="preserve">more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11.8%</w:t>
      </w:r>
      <w:r w:rsidR="004D2F15" w:rsidRPr="006E0C20">
        <w:rPr>
          <w:rFonts w:ascii="Franklin Gothic Book" w:hAnsi="Franklin Gothic Book" w:cs="Calibri Light"/>
          <w:sz w:val="22"/>
          <w:szCs w:val="22"/>
        </w:rPr>
        <w:t xml:space="preserve"> compared with 7.8% among those from other religious faiths and 4.8% for those with no religious faith.</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7872892D-8E44-47BE-9E1B-67DE03B38FBE}"/>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